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96" w:type="dxa"/>
        <w:tblInd w:w="93" w:type="dxa"/>
        <w:tblLayout w:type="fixed"/>
        <w:tblCellMar>
          <w:top w:w="0" w:type="dxa"/>
          <w:left w:w="108" w:type="dxa"/>
          <w:bottom w:w="0" w:type="dxa"/>
          <w:right w:w="108" w:type="dxa"/>
        </w:tblCellMar>
      </w:tblPr>
      <w:tblGrid>
        <w:gridCol w:w="1149"/>
        <w:gridCol w:w="6096"/>
        <w:gridCol w:w="708"/>
        <w:gridCol w:w="709"/>
        <w:gridCol w:w="1134"/>
      </w:tblGrid>
      <w:tr>
        <w:tblPrEx>
          <w:tblLayout w:type="fixed"/>
          <w:tblCellMar>
            <w:top w:w="0" w:type="dxa"/>
            <w:left w:w="108" w:type="dxa"/>
            <w:bottom w:w="0" w:type="dxa"/>
            <w:right w:w="108" w:type="dxa"/>
          </w:tblCellMar>
        </w:tblPrEx>
        <w:trPr>
          <w:trHeight w:val="480" w:hRule="atLeast"/>
        </w:trPr>
        <w:tc>
          <w:tcPr>
            <w:tcW w:w="114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产品名称</w:t>
            </w:r>
          </w:p>
        </w:tc>
        <w:tc>
          <w:tcPr>
            <w:tcW w:w="609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参数要求</w:t>
            </w:r>
          </w:p>
        </w:tc>
        <w:tc>
          <w:tcPr>
            <w:tcW w:w="708"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单位</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数量</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备注</w:t>
            </w:r>
          </w:p>
        </w:tc>
      </w:tr>
      <w:tr>
        <w:tblPrEx>
          <w:tblLayout w:type="fixed"/>
          <w:tblCellMar>
            <w:top w:w="0" w:type="dxa"/>
            <w:left w:w="108" w:type="dxa"/>
            <w:bottom w:w="0" w:type="dxa"/>
            <w:right w:w="108" w:type="dxa"/>
          </w:tblCellMar>
        </w:tblPrEx>
        <w:trPr>
          <w:trHeight w:val="375"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六类非屏蔽网络模块</w:t>
            </w:r>
          </w:p>
        </w:tc>
        <w:tc>
          <w:tcPr>
            <w:tcW w:w="609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标准：YD/T 926.3，ISO/IEC 11801:2008；ANSI/TIA-568-C.2</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阻燃级别：V-0</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IDC：磷青铜</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金针：磷青铜表面镀金，无焊锡植针技术</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防尘盖：透明PC材料</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插头与插座插合次数：≥1000次</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导线端接次数：≥250次</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打线方式：T568A/T568B</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IDC与金针方向：180度</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卡接导体规格：单股、0.5mm～0.65mm、24AWG~22AWG</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最高传输频率：250MHz</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额定电流：0.75A</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工作温度：-10℃～+60℃</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★产品符合YD/T926.3-2009标准的单体要求和GB/T2423.17-2008标准72h盐雾试验并提供具有CMA及CNAS标记的第三方检验报告</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6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面板 /底盒</w:t>
            </w:r>
          </w:p>
        </w:tc>
        <w:tc>
          <w:tcPr>
            <w:tcW w:w="609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标准：GB 17466</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信息插</w:t>
            </w:r>
            <w:bookmarkStart w:id="0" w:name="_GoBack"/>
            <w:bookmarkEnd w:id="0"/>
            <w:r>
              <w:rPr>
                <w:rFonts w:hint="eastAsia" w:ascii="仿宋" w:hAnsi="仿宋" w:eastAsia="仿宋" w:cs="宋体"/>
                <w:color w:val="000000"/>
                <w:kern w:val="0"/>
                <w:szCs w:val="21"/>
              </w:rPr>
              <w:t>座与面板采用90度安装方式</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组合式结构，前后双层面板设计，外形美观，避免固定螺丝孔外露</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☆RJ45\RJ11端口带弹簧式自动回弹防尘门设计，防止灰尘等异物侵入，防尘门为白色，与面板整体风格协调统一</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带有标识纸和标识盖，方便维护和使用</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具有风格统一的单口、双口、三口、四口网络，单口TV、TV加网络规格</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面板尺寸：高度:86×宽度:86mm</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颜色：白色</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材料：ABS</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50</w:t>
            </w:r>
          </w:p>
        </w:tc>
        <w:tc>
          <w:tcPr>
            <w:tcW w:w="1134"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含底盒</w:t>
            </w:r>
          </w:p>
        </w:tc>
      </w:tr>
      <w:tr>
        <w:tblPrEx>
          <w:tblLayout w:type="fixed"/>
          <w:tblCellMar>
            <w:top w:w="0" w:type="dxa"/>
            <w:left w:w="108" w:type="dxa"/>
            <w:bottom w:w="0" w:type="dxa"/>
            <w:right w:w="108" w:type="dxa"/>
          </w:tblCellMar>
        </w:tblPrEx>
        <w:trPr>
          <w:trHeight w:val="583"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交换机</w:t>
            </w:r>
          </w:p>
        </w:tc>
        <w:tc>
          <w:tcPr>
            <w:tcW w:w="609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1、实配固化10/100/1000M以太网端口≥16个；</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2、要求所投交换机满足交换容量≥32Gbps，转发性能≥24Mpps；</w:t>
            </w:r>
            <w:r>
              <w:rPr>
                <w:rFonts w:hint="eastAsia" w:ascii="宋体" w:hAnsi="宋体" w:cs="宋体"/>
                <w:color w:val="000000"/>
                <w:kern w:val="0"/>
                <w:szCs w:val="21"/>
              </w:rPr>
              <w:t> </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3、★要求所投产品支持端口防雷≥6KV（非防静电），提供官网截图及链接作为证明材料；</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4、要求所投产品工作温度范围0-50°C；</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5、要求所投产品可快速检测链路的通断，并支持端口下的环路检测功能，防止端口下因私接Hub等设备形成的环路而导致网络故障；</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6、★为了提升运维的便捷性，要求所投交换机支持手机APP集中管理，能够实现拓扑呈现、端口状态显示、VLAN配置等，提供官网截图或APP界面截图作为证明；</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7、要求投标产品提供工信部进网许可证以及国家强制性产品认证证书（3C）复印件</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555"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六类非屏蔽网线</w:t>
            </w:r>
          </w:p>
        </w:tc>
        <w:tc>
          <w:tcPr>
            <w:tcW w:w="609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线缆本体上需印有厂商信息及YD/T1019标准中4.5产品标记中所要求的型式代号、线对规格代号及标准代号</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标准：YD/T1019</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通过标准最高传输频率250MHz测试</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单根导体直流电阻：≤9.5Ω/100m</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 xml:space="preserve">标称线对数：4，导体标称直径：0.57mm，导体名称：软圆铜线，绝缘：HDPE </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屏蔽方式：U/UTP，线对采用“十”字骨架隔离</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护套材料：PVC，护套外径：6.3±0.3mm</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最小内弯曲半径：安装时：8倍电缆外径，安装后：4倍电缆外径，敷设方式：钢管或阻燃硬质PVC管内</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包装方式：305米/易拉箱，2易拉箱/外箱</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安装温度：不低于0℃，工作温度：-20℃～+60℃                                                                                                              ★提供中国泰尔实验室出具的单品检验报告。</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箱</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563"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r>
              <w:rPr>
                <w:rFonts w:hint="eastAsia" w:ascii="仿宋" w:hAnsi="仿宋" w:eastAsia="仿宋" w:cs="宋体"/>
                <w:color w:val="000000"/>
                <w:kern w:val="0"/>
                <w:szCs w:val="21"/>
              </w:rPr>
              <w:t>七类屏蔽网线</w:t>
            </w:r>
          </w:p>
        </w:tc>
        <w:tc>
          <w:tcPr>
            <w:tcW w:w="609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线缆本体上需印有厂商信息及YD/T1019标准中4.5产品标记中所要求的型式代号、线对规格代号及标准代号</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标准：YD/T1019</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通过标准最高传输频率500MHz测试</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单根导体直流电阻：≤9.5Ω/100m</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标称线对数：4，导体标称直径：0.57mm，导体名称：软圆铜线，绝缘：SKIN-FOAM-SKIN，绝缘颜色：白-蓝色/蓝色，白-橙色/橙色，白-绿色/绿色，白-棕色/棕色</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屏蔽方式: S/FTP，线对屏蔽：单面复合铝箔，整体屏蔽：TXR编织</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护套材料：PVC，护套外径：7.8±0.3mm</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最小内弯曲半径：安装时：8倍电缆外径，安装后：4倍电缆外径，敷设方式：钢管或阻燃硬质PVC管内</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包装方式：305米/盘</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安装温度：不低于0℃，工作温度：-20℃～+60℃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箱</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560"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线槽、线管</w:t>
            </w:r>
          </w:p>
        </w:tc>
        <w:tc>
          <w:tcPr>
            <w:tcW w:w="60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PVC国产国标2cm,4cm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47"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六类非屏蔽配线架</w:t>
            </w:r>
          </w:p>
        </w:tc>
        <w:tc>
          <w:tcPr>
            <w:tcW w:w="609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 xml:space="preserve">标准：YD/T 926.3，ISO/IEC 11801，ANSI/TIA - 568-C.2 </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标识管理：完善清晰的标识系统，让施工、维护、管理更方便、快捷，端口带序号标识</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IDC：磷青铜</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金针：磷青铜表面镀金</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线缆保护盖：PC 材料</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进线方式：180°进线</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卡接导体规格：单股、0.5mm～0.65mm、24AWG~22AWG</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打线方式：T568A/T568B</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插头与插座插合次数：≥1000次</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导线端接次数：≥250次</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最高传输频率：250MHz</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工作温度：-10℃～+60℃                                                                                                                            ★产品符合YD/T 926.3-2009单体性能要求并提供第三方检测报告</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11"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 xml:space="preserve">  理线器</w:t>
            </w:r>
          </w:p>
        </w:tc>
        <w:tc>
          <w:tcPr>
            <w:tcW w:w="609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标准19英寸机架式安装，高度：1U</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材料及厚度：SPCC冷轧钢板表面脱脂、磷化、静电喷塑处理，架体1.2，盖板1.0mm</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带有盖板</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理线档位：上下各24档</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带有贯穿孔，支持前后走线和多余线缆的存放</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模压品牌商标</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颜色：黑色</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尺寸：482×44×80mm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61"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PDU</w:t>
            </w:r>
          </w:p>
        </w:tc>
        <w:tc>
          <w:tcPr>
            <w:tcW w:w="6096"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输入：L+N+PE,国标10A插头</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额定值：10A 250V 2500W</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8位 10A五孔</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3*1.5MM</w:t>
            </w:r>
            <w:r>
              <w:rPr>
                <w:rFonts w:hint="eastAsia" w:ascii="宋体" w:hAnsi="宋体" w:cs="宋体"/>
                <w:color w:val="000000"/>
                <w:kern w:val="0"/>
                <w:szCs w:val="21"/>
              </w:rPr>
              <w:t>²</w:t>
            </w:r>
            <w:r>
              <w:rPr>
                <w:rFonts w:hint="eastAsia" w:ascii="仿宋" w:hAnsi="仿宋" w:eastAsia="仿宋" w:cs="宋体"/>
                <w:color w:val="000000"/>
                <w:kern w:val="0"/>
                <w:szCs w:val="21"/>
              </w:rPr>
              <w:t xml:space="preserve"> 1.8M长配线</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黑色，数量外壳，带总开关</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19"安装 1U高</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4"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水晶头</w:t>
            </w:r>
          </w:p>
        </w:tc>
        <w:tc>
          <w:tcPr>
            <w:tcW w:w="609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符合T568A和T568B线序</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结构：一体式设计，8P8C</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金片：三叉铜合金</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镀金厚度：50u”</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塑胶壳材料：透明聚碳酸脂</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适用芯线直径：0.96mm~1.02mm</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插拔次数：≥1000次</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拉力测试：≥20N</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介质耐电压：1000VAC/60S</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工作温度：-10℃～+60℃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盒</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4"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安装调试费</w:t>
            </w:r>
          </w:p>
        </w:tc>
        <w:tc>
          <w:tcPr>
            <w:tcW w:w="6096"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网络布线安装调试及设备联调</w:t>
            </w:r>
          </w:p>
        </w:tc>
        <w:tc>
          <w:tcPr>
            <w:tcW w:w="708" w:type="dxa"/>
            <w:tcBorders>
              <w:top w:val="nil"/>
              <w:left w:val="nil"/>
              <w:bottom w:val="single" w:color="auto" w:sz="4" w:space="0"/>
              <w:right w:val="single" w:color="auto" w:sz="4" w:space="0"/>
            </w:tcBorders>
            <w:shd w:val="clear" w:color="auto" w:fill="auto"/>
            <w:noWrap/>
            <w:vAlign w:val="center"/>
          </w:tcPr>
          <w:p>
            <w:pPr>
              <w:widowControl/>
              <w:ind w:firstLine="210" w:firstLineChars="100"/>
              <w:rPr>
                <w:rFonts w:ascii="仿宋" w:hAnsi="仿宋" w:eastAsia="仿宋" w:cs="宋体"/>
                <w:color w:val="000000"/>
                <w:kern w:val="0"/>
                <w:szCs w:val="21"/>
              </w:rPr>
            </w:pPr>
            <w:r>
              <w:rPr>
                <w:rFonts w:hint="eastAsia" w:ascii="仿宋" w:hAnsi="仿宋" w:eastAsia="仿宋" w:cs="宋体"/>
                <w:color w:val="000000"/>
                <w:kern w:val="0"/>
                <w:szCs w:val="21"/>
              </w:rPr>
              <w:t>点</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强电改造</w:t>
            </w:r>
          </w:p>
        </w:tc>
        <w:tc>
          <w:tcPr>
            <w:tcW w:w="6096"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配电箱迁移增加线缆（6m2 电缆50米左右）</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91"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旧线拆除</w:t>
            </w:r>
          </w:p>
        </w:tc>
        <w:tc>
          <w:tcPr>
            <w:tcW w:w="6096"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旧网线拆除清理</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辅材</w:t>
            </w:r>
          </w:p>
        </w:tc>
        <w:tc>
          <w:tcPr>
            <w:tcW w:w="6096"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各类交换机、服务器跳线、及所需桥架，插排、扎带等配件</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批</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机房整改迁移</w:t>
            </w:r>
          </w:p>
        </w:tc>
        <w:tc>
          <w:tcPr>
            <w:tcW w:w="60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四组机柜及所有服务器交换机设备迁移重新整理，打标识标签</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1120"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Cs w:val="21"/>
              </w:rPr>
            </w:pPr>
            <w:r>
              <w:rPr>
                <w:rFonts w:hint="eastAsia" w:ascii="仿宋" w:hAnsi="仿宋" w:eastAsia="仿宋" w:cs="宋体"/>
                <w:kern w:val="0"/>
                <w:szCs w:val="21"/>
              </w:rPr>
              <w:t>精密空调</w:t>
            </w:r>
          </w:p>
        </w:tc>
        <w:tc>
          <w:tcPr>
            <w:tcW w:w="609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1.制冷量≥20kW，风量≥6200㎡/H【p。</w:t>
            </w:r>
          </w:p>
          <w:p>
            <w:pPr>
              <w:widowControl/>
              <w:jc w:val="left"/>
              <w:rPr>
                <w:rFonts w:ascii="仿宋" w:hAnsi="仿宋" w:eastAsia="仿宋" w:cs="宋体"/>
                <w:kern w:val="0"/>
                <w:szCs w:val="21"/>
              </w:rPr>
            </w:pPr>
            <w:r>
              <w:rPr>
                <w:rFonts w:hint="eastAsia" w:ascii="仿宋" w:hAnsi="仿宋" w:eastAsia="仿宋" w:cs="宋体"/>
                <w:kern w:val="0"/>
                <w:szCs w:val="21"/>
              </w:rPr>
              <w:t>2.显冷量≥18.6kW，电加热≥6kW，加湿量≥4.5kg/h,上送风；机房专用空调应能应解决机房的高显热量负荷。</w:t>
            </w:r>
          </w:p>
          <w:p>
            <w:pPr>
              <w:widowControl/>
              <w:jc w:val="left"/>
              <w:rPr>
                <w:rFonts w:ascii="仿宋" w:hAnsi="仿宋" w:eastAsia="仿宋" w:cs="宋体"/>
                <w:kern w:val="0"/>
                <w:szCs w:val="21"/>
              </w:rPr>
            </w:pPr>
            <w:r>
              <w:rPr>
                <w:rFonts w:hint="eastAsia" w:ascii="仿宋" w:hAnsi="仿宋" w:eastAsia="仿宋" w:cs="宋体"/>
                <w:kern w:val="0"/>
                <w:szCs w:val="21"/>
              </w:rPr>
              <w:t>★3.能效比要求要求24℃，45%RH工况下机组制冷能效比应≥3.0；采用变容量输出的高效柔性涡旋压缩机。在24℃，50%RH工况下：显热比≥0.91，具有高显热比独特设计，提供相应文件证明</w:t>
            </w:r>
          </w:p>
          <w:p>
            <w:pPr>
              <w:widowControl/>
              <w:jc w:val="left"/>
              <w:rPr>
                <w:rFonts w:ascii="仿宋" w:hAnsi="仿宋" w:eastAsia="仿宋" w:cs="宋体"/>
                <w:kern w:val="0"/>
                <w:szCs w:val="21"/>
              </w:rPr>
            </w:pPr>
            <w:r>
              <w:rPr>
                <w:rFonts w:hint="eastAsia" w:ascii="仿宋" w:hAnsi="仿宋" w:eastAsia="仿宋" w:cs="宋体"/>
                <w:kern w:val="0"/>
                <w:szCs w:val="21"/>
              </w:rPr>
              <w:t>★4采用新型加湿器预热装置，加湿器内设有加热管，充分利用压缩机排出的高温制冷剂对加湿器内的水进行换热，使水升高，达到预热的状态，减少了对水加热的时间，同时对压缩机进行降温，减少冷凝器的工作时间，从而大大节约了能源和时间，降低机房专用空调除湿过程耗电量。提供第三方有效证明文件。</w:t>
            </w:r>
          </w:p>
          <w:p>
            <w:pPr>
              <w:widowControl/>
              <w:jc w:val="left"/>
              <w:rPr>
                <w:rFonts w:ascii="仿宋" w:hAnsi="仿宋" w:eastAsia="仿宋" w:cs="宋体"/>
                <w:kern w:val="0"/>
                <w:szCs w:val="21"/>
              </w:rPr>
            </w:pPr>
            <w:r>
              <w:rPr>
                <w:rFonts w:hint="eastAsia" w:ascii="仿宋" w:hAnsi="仿宋" w:eastAsia="仿宋" w:cs="宋体"/>
                <w:kern w:val="0"/>
                <w:szCs w:val="21"/>
              </w:rPr>
              <w:t>★5.控制显示系统：全中文大屏显示，直观显示空调运行状态与进出风温湿度； 控制存储系统：显示器中可调阅查看历史告警信息，可扩展存储调阅历史记录。可通过计算机直接读取数据。具备先进的机房空调的控制方法及控制系统，不需要降低降低送风量,不影响整个机房环境的温度场,不会使机房局部温度超高.提供第三方有效证明文件</w:t>
            </w:r>
          </w:p>
          <w:p>
            <w:pPr>
              <w:widowControl/>
              <w:jc w:val="left"/>
              <w:rPr>
                <w:rFonts w:ascii="仿宋" w:hAnsi="仿宋" w:eastAsia="仿宋" w:cs="宋体"/>
                <w:kern w:val="0"/>
                <w:szCs w:val="21"/>
              </w:rPr>
            </w:pPr>
            <w:r>
              <w:rPr>
                <w:rFonts w:hint="eastAsia" w:ascii="仿宋" w:hAnsi="仿宋" w:eastAsia="仿宋" w:cs="宋体"/>
                <w:kern w:val="0"/>
                <w:szCs w:val="21"/>
              </w:rPr>
              <w:t>6.群控功能：可群控机组，轻松组网，可共享并设定温湿度值，群控模式包括自动确认空调开启数量、避免竞争运行，定时轮巡与故障自动切换。</w:t>
            </w:r>
          </w:p>
          <w:p>
            <w:pPr>
              <w:widowControl/>
              <w:jc w:val="left"/>
              <w:rPr>
                <w:rFonts w:ascii="仿宋" w:hAnsi="仿宋" w:eastAsia="仿宋" w:cs="宋体"/>
                <w:kern w:val="0"/>
                <w:szCs w:val="21"/>
              </w:rPr>
            </w:pPr>
            <w:r>
              <w:rPr>
                <w:rFonts w:hint="eastAsia" w:ascii="仿宋" w:hAnsi="仿宋" w:eastAsia="仿宋" w:cs="宋体"/>
                <w:kern w:val="0"/>
                <w:szCs w:val="21"/>
              </w:rPr>
              <w:t>★7.精密空调应满足国家相关标准及认证要求，提供CQC节能证书、3C强制认证证书、TLC泰尔认证证书；</w:t>
            </w:r>
          </w:p>
          <w:p>
            <w:pPr>
              <w:widowControl/>
              <w:jc w:val="left"/>
              <w:rPr>
                <w:rFonts w:ascii="仿宋" w:hAnsi="仿宋" w:eastAsia="仿宋" w:cs="宋体"/>
                <w:kern w:val="0"/>
                <w:szCs w:val="21"/>
              </w:rPr>
            </w:pPr>
            <w:r>
              <w:rPr>
                <w:rFonts w:hint="eastAsia" w:ascii="仿宋" w:hAnsi="仿宋" w:eastAsia="仿宋" w:cs="宋体"/>
                <w:kern w:val="0"/>
                <w:szCs w:val="21"/>
              </w:rPr>
              <w:t>★8.生产厂家资质要求</w:t>
            </w:r>
          </w:p>
          <w:p>
            <w:pPr>
              <w:widowControl/>
              <w:jc w:val="left"/>
              <w:rPr>
                <w:rFonts w:ascii="仿宋" w:hAnsi="仿宋" w:eastAsia="仿宋" w:cs="宋体"/>
                <w:kern w:val="0"/>
                <w:szCs w:val="21"/>
              </w:rPr>
            </w:pPr>
            <w:r>
              <w:rPr>
                <w:rFonts w:hint="eastAsia" w:ascii="仿宋" w:hAnsi="仿宋" w:eastAsia="仿宋" w:cs="宋体"/>
                <w:kern w:val="0"/>
                <w:szCs w:val="21"/>
              </w:rPr>
              <w:t>1）提供投标设备生产厂家质量、环境、职业健康安全管理体系认证证书；</w:t>
            </w:r>
          </w:p>
          <w:p>
            <w:pPr>
              <w:widowControl/>
              <w:jc w:val="left"/>
              <w:rPr>
                <w:rFonts w:ascii="仿宋" w:hAnsi="仿宋" w:eastAsia="仿宋" w:cs="宋体"/>
                <w:kern w:val="0"/>
                <w:szCs w:val="21"/>
              </w:rPr>
            </w:pPr>
            <w:r>
              <w:rPr>
                <w:rFonts w:hint="eastAsia" w:ascii="仿宋" w:hAnsi="仿宋" w:eastAsia="仿宋" w:cs="宋体"/>
                <w:kern w:val="0"/>
                <w:szCs w:val="21"/>
              </w:rPr>
              <w:t>2）提供投标产品具有《CRAA认证证书》，需提供复印件加盖原厂商公章；</w:t>
            </w:r>
          </w:p>
          <w:p>
            <w:pPr>
              <w:widowControl/>
              <w:jc w:val="left"/>
              <w:rPr>
                <w:rFonts w:ascii="仿宋" w:hAnsi="仿宋" w:eastAsia="仿宋" w:cs="宋体"/>
                <w:kern w:val="0"/>
                <w:szCs w:val="21"/>
              </w:rPr>
            </w:pPr>
            <w:r>
              <w:rPr>
                <w:rFonts w:hint="eastAsia" w:ascii="仿宋" w:hAnsi="仿宋" w:eastAsia="仿宋" w:cs="宋体"/>
                <w:kern w:val="0"/>
                <w:szCs w:val="21"/>
              </w:rPr>
              <w:t>3）设备厂商具有国家认可的检测和校准能力的实验室机构(能力范围含盖机房空调)，提供相关证明文件复印件加盖原厂商公章。</w:t>
            </w:r>
          </w:p>
          <w:p>
            <w:pPr>
              <w:jc w:val="left"/>
              <w:rPr>
                <w:rFonts w:ascii="仿宋" w:hAnsi="仿宋" w:eastAsia="仿宋" w:cs="宋体"/>
                <w:kern w:val="0"/>
                <w:szCs w:val="21"/>
              </w:rPr>
            </w:pPr>
            <w:r>
              <w:rPr>
                <w:rFonts w:ascii="仿宋" w:hAnsi="仿宋" w:eastAsia="仿宋" w:cs="宋体"/>
                <w:kern w:val="0"/>
                <w:szCs w:val="21"/>
              </w:rPr>
              <w:t>4</w:t>
            </w:r>
            <w:r>
              <w:rPr>
                <w:rFonts w:hint="eastAsia" w:ascii="仿宋" w:hAnsi="仿宋" w:eastAsia="仿宋" w:cs="宋体"/>
                <w:kern w:val="0"/>
                <w:szCs w:val="21"/>
              </w:rPr>
              <w:t>）精密空调生产企业应具有完备的检测检验能力，应具有用于空调检验检测的焓差实验室机构，以确保空调出厂运行精密精确。</w:t>
            </w:r>
          </w:p>
          <w:p>
            <w:pPr>
              <w:widowControl/>
              <w:jc w:val="left"/>
              <w:rPr>
                <w:rFonts w:ascii="仿宋" w:hAnsi="仿宋" w:eastAsia="仿宋" w:cs="宋体"/>
                <w:color w:val="FF0000"/>
                <w:kern w:val="0"/>
                <w:szCs w:val="21"/>
              </w:rPr>
            </w:pPr>
            <w:r>
              <w:rPr>
                <w:rFonts w:hint="eastAsia" w:ascii="仿宋" w:hAnsi="仿宋" w:eastAsia="仿宋" w:cs="宋体"/>
                <w:kern w:val="0"/>
                <w:szCs w:val="21"/>
              </w:rPr>
              <w:t>★9.为了保证产品质量和售后服务，供应商报价时需提供所投产品原厂授权函和三年售后服务承诺函加盖供应商商公章</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含30米左右铜管、水管等配件及原厂工程师上门安装调试</w:t>
            </w:r>
          </w:p>
        </w:tc>
      </w:tr>
    </w:tbl>
    <w:p>
      <w:pPr>
        <w:rPr>
          <w:sz w:val="28"/>
          <w:szCs w:val="28"/>
        </w:rPr>
      </w:pPr>
      <w:r>
        <w:rPr>
          <w:rFonts w:hint="eastAsia"/>
          <w:sz w:val="28"/>
          <w:szCs w:val="28"/>
        </w:rPr>
        <w:t>注：上述参数打“</w:t>
      </w:r>
      <w:r>
        <w:rPr>
          <w:rFonts w:hint="eastAsia" w:ascii="仿宋" w:hAnsi="仿宋" w:eastAsia="仿宋" w:cs="宋体"/>
          <w:kern w:val="0"/>
          <w:szCs w:val="21"/>
        </w:rPr>
        <w:t>★</w:t>
      </w:r>
      <w:r>
        <w:rPr>
          <w:rFonts w:hint="eastAsia"/>
          <w:sz w:val="28"/>
          <w:szCs w:val="28"/>
        </w:rPr>
        <w:t>”部分必须满足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19"/>
    <w:rsid w:val="00045A16"/>
    <w:rsid w:val="0007218D"/>
    <w:rsid w:val="0007321D"/>
    <w:rsid w:val="00090844"/>
    <w:rsid w:val="000C27D0"/>
    <w:rsid w:val="000C48CE"/>
    <w:rsid w:val="000C7008"/>
    <w:rsid w:val="000F65C9"/>
    <w:rsid w:val="000F79ED"/>
    <w:rsid w:val="00121341"/>
    <w:rsid w:val="00165EF1"/>
    <w:rsid w:val="001678F0"/>
    <w:rsid w:val="001945AA"/>
    <w:rsid w:val="001A226E"/>
    <w:rsid w:val="001C5155"/>
    <w:rsid w:val="00245B97"/>
    <w:rsid w:val="00260CEA"/>
    <w:rsid w:val="00287B40"/>
    <w:rsid w:val="00291A38"/>
    <w:rsid w:val="002D46BD"/>
    <w:rsid w:val="002D7DE5"/>
    <w:rsid w:val="003249CC"/>
    <w:rsid w:val="00381B96"/>
    <w:rsid w:val="003952FD"/>
    <w:rsid w:val="003A2387"/>
    <w:rsid w:val="003E10AA"/>
    <w:rsid w:val="0040350C"/>
    <w:rsid w:val="00416C6F"/>
    <w:rsid w:val="004268F6"/>
    <w:rsid w:val="00485D19"/>
    <w:rsid w:val="00491C38"/>
    <w:rsid w:val="004C3A52"/>
    <w:rsid w:val="004E7142"/>
    <w:rsid w:val="00514611"/>
    <w:rsid w:val="005A57B8"/>
    <w:rsid w:val="005A5A78"/>
    <w:rsid w:val="005B0C4F"/>
    <w:rsid w:val="00657AB7"/>
    <w:rsid w:val="00674878"/>
    <w:rsid w:val="00675839"/>
    <w:rsid w:val="00744418"/>
    <w:rsid w:val="00795964"/>
    <w:rsid w:val="007A323B"/>
    <w:rsid w:val="007B27B1"/>
    <w:rsid w:val="007B421F"/>
    <w:rsid w:val="007B4968"/>
    <w:rsid w:val="007F2D95"/>
    <w:rsid w:val="007F3E20"/>
    <w:rsid w:val="008541DC"/>
    <w:rsid w:val="00860363"/>
    <w:rsid w:val="00864E45"/>
    <w:rsid w:val="008A793F"/>
    <w:rsid w:val="008D0620"/>
    <w:rsid w:val="008D171D"/>
    <w:rsid w:val="008F3827"/>
    <w:rsid w:val="00900D79"/>
    <w:rsid w:val="00912D05"/>
    <w:rsid w:val="009374CF"/>
    <w:rsid w:val="009774D0"/>
    <w:rsid w:val="009A4D01"/>
    <w:rsid w:val="009B04B9"/>
    <w:rsid w:val="009B2955"/>
    <w:rsid w:val="00A019BF"/>
    <w:rsid w:val="00A57ED5"/>
    <w:rsid w:val="00A71E37"/>
    <w:rsid w:val="00A85486"/>
    <w:rsid w:val="00AB1EDF"/>
    <w:rsid w:val="00AE3257"/>
    <w:rsid w:val="00B02B6A"/>
    <w:rsid w:val="00B04FDD"/>
    <w:rsid w:val="00B179DE"/>
    <w:rsid w:val="00B30283"/>
    <w:rsid w:val="00B467D8"/>
    <w:rsid w:val="00B66AE5"/>
    <w:rsid w:val="00B9238D"/>
    <w:rsid w:val="00B94180"/>
    <w:rsid w:val="00B94FB3"/>
    <w:rsid w:val="00B97FD6"/>
    <w:rsid w:val="00BB06C3"/>
    <w:rsid w:val="00BC6CD4"/>
    <w:rsid w:val="00BE0DBB"/>
    <w:rsid w:val="00BF2889"/>
    <w:rsid w:val="00C3109E"/>
    <w:rsid w:val="00C37211"/>
    <w:rsid w:val="00C66835"/>
    <w:rsid w:val="00C738B8"/>
    <w:rsid w:val="00C80F1E"/>
    <w:rsid w:val="00C81895"/>
    <w:rsid w:val="00CE664F"/>
    <w:rsid w:val="00D22B3D"/>
    <w:rsid w:val="00D32F09"/>
    <w:rsid w:val="00D601B6"/>
    <w:rsid w:val="00D74709"/>
    <w:rsid w:val="00D80C2B"/>
    <w:rsid w:val="00D85411"/>
    <w:rsid w:val="00D97396"/>
    <w:rsid w:val="00DB6083"/>
    <w:rsid w:val="00DD729D"/>
    <w:rsid w:val="00DE74D0"/>
    <w:rsid w:val="00E34AF9"/>
    <w:rsid w:val="00E51183"/>
    <w:rsid w:val="00E72E63"/>
    <w:rsid w:val="00E82447"/>
    <w:rsid w:val="00E87EAC"/>
    <w:rsid w:val="00EB11D9"/>
    <w:rsid w:val="00EE0918"/>
    <w:rsid w:val="00F545CC"/>
    <w:rsid w:val="00F549B5"/>
    <w:rsid w:val="00FD6DD5"/>
    <w:rsid w:val="00FF01EA"/>
    <w:rsid w:val="76C46F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529</Words>
  <Characters>3016</Characters>
  <Lines>25</Lines>
  <Paragraphs>7</Paragraphs>
  <TotalTime>1</TotalTime>
  <ScaleCrop>false</ScaleCrop>
  <LinksUpToDate>false</LinksUpToDate>
  <CharactersWithSpaces>3538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2022-11-10T07:35:00Z</dcterms:created>
  <dc:creator>PC</dc:creator>
  <cp:lastModifiedBy>Administrator</cp:lastModifiedBy>
  <cp:lastPrinted>2020-12-13T07:46:00Z</cp:lastPrinted>
  <dcterms:modified xsi:type="dcterms:W3CDTF">2022-11-22T03:47:43Z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